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Администрации города Покачи от 12.10.2018 N 993</w:t>
              <w:br/>
              <w:t xml:space="preserve">(ред. от 14.08.2024)</w:t>
              <w:br/>
              <w:t xml:space="preserve">"Об утверждении муниципальной программы "Улучшение условий и охраны труда на территории города Покачи"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30.10.2024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АДМИНИСТРАЦИЯ ГОРОДА ПОКАЧИ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12 октября 2018 г. N 993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МУНИЦИПАЛЬНОЙ ПРОГРАММЫ "УЛУЧШЕНИЕ УСЛОВИЙ</w:t>
      </w:r>
    </w:p>
    <w:p>
      <w:pPr>
        <w:pStyle w:val="2"/>
        <w:jc w:val="center"/>
      </w:pPr>
      <w:r>
        <w:rPr>
          <w:sz w:val="20"/>
        </w:rPr>
        <w:t xml:space="preserve">И ОХРАНЫ ТРУДА НА ТЕРРИТОРИИ ГОРОДА ПОКАЧИ"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города Покачи от 20.09.2019 </w:t>
            </w:r>
            <w:hyperlink w:history="0" r:id="rId7" w:tooltip="Постановление Администрации города Покачи от 20.09.2019 N 825 &quot;О внесении изменений в муниципальную программу &quot;Улучшение условий и охраны труда на территории города Покачи на 2019 - 2022 годы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825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28.10.2019 </w:t>
            </w:r>
            <w:hyperlink w:history="0" r:id="rId8" w:tooltip="Постановление Администрации города Покачи от 28.10.2019 N 946 &quot;О внесении изменений в муниципальную программу &quot;Улучшение условий и охраны труда на территории города Покачи на 2019 - 2022 годы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946</w:t>
              </w:r>
            </w:hyperlink>
            <w:r>
              <w:rPr>
                <w:sz w:val="20"/>
                <w:color w:val="392c69"/>
              </w:rPr>
              <w:t xml:space="preserve">, от 27.10.2020 </w:t>
            </w:r>
            <w:hyperlink w:history="0" r:id="rId9" w:tooltip="Постановление Администрации города Покачи от 27.10.2020 N 884 &quot;О внесении изменений в постановление администрации города Покачи от 12.10.2018 N 993 &quot;Об утверждении муниципальной программы &quot;Улучшение условий и охраны труда на территории города Покачи на 2019 - 2022 годы&quot; {КонсультантПлюс}">
              <w:r>
                <w:rPr>
                  <w:sz w:val="20"/>
                  <w:color w:val="0000ff"/>
                </w:rPr>
                <w:t xml:space="preserve">N 884</w:t>
              </w:r>
            </w:hyperlink>
            <w:r>
              <w:rPr>
                <w:sz w:val="20"/>
                <w:color w:val="392c69"/>
              </w:rPr>
              <w:t xml:space="preserve">, от 29.10.2020 </w:t>
            </w:r>
            <w:hyperlink w:history="0" r:id="rId10" w:tooltip="Постановление Администрации города Покачи от 29.10.2020 N 902 &quot;О внесении изменений в постановление администрации города Покачи от 12.10.2018 N 993 &quot;Об утверждении муниципальной программы &quot;Улучшение условий и охраны труда на территории города Покачи на 2019 - 2030 годы&quot; {КонсультантПлюс}">
              <w:r>
                <w:rPr>
                  <w:sz w:val="20"/>
                  <w:color w:val="0000ff"/>
                </w:rPr>
                <w:t xml:space="preserve">N 902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21.07.2021 </w:t>
            </w:r>
            <w:hyperlink w:history="0" r:id="rId11" w:tooltip="Постановление Администрации города Покачи от 21.07.2021 N 653 &quot;О внесении изменений в постановление администрации города Покачи от 12.10.2018 N 993 &quot;Об утверждении муниципальной программы &quot;Улучшение условий охраны труда на территории города Покачи&quot; (вместе с &quot;Муниципальной программой &quot;Улучшение условий и охраны труда на территории города Покачи&quot;) {КонсультантПлюс}">
              <w:r>
                <w:rPr>
                  <w:sz w:val="20"/>
                  <w:color w:val="0000ff"/>
                </w:rPr>
                <w:t xml:space="preserve">N 653</w:t>
              </w:r>
            </w:hyperlink>
            <w:r>
              <w:rPr>
                <w:sz w:val="20"/>
                <w:color w:val="392c69"/>
              </w:rPr>
              <w:t xml:space="preserve">, от 25.10.2021 </w:t>
            </w:r>
            <w:hyperlink w:history="0" r:id="rId12" w:tooltip="Постановление Администрации города Покачи от 25.10.2021 N 994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994</w:t>
              </w:r>
            </w:hyperlink>
            <w:r>
              <w:rPr>
                <w:sz w:val="20"/>
                <w:color w:val="392c69"/>
              </w:rPr>
              <w:t xml:space="preserve">, от 05.08.2022 </w:t>
            </w:r>
            <w:hyperlink w:history="0" r:id="rId13" w:tooltip="Постановление Администрации города Покачи от 05.08.2022 N 827 &quot;О внесении изменений в постановление администрации города Покачи от 12.10.2018 N 993 &quot;Об утверждении муниципальной программы &quot;Улучшение условий охраны труда на территории города Покачи&quot; {КонсультантПлюс}">
              <w:r>
                <w:rPr>
                  <w:sz w:val="20"/>
                  <w:color w:val="0000ff"/>
                </w:rPr>
                <w:t xml:space="preserve">N 827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21.12.2022 </w:t>
            </w:r>
            <w:hyperlink w:history="0" r:id="rId14" w:tooltip="Постановление Администрации города Покачи от 21.12.2022 N 1275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1275</w:t>
              </w:r>
            </w:hyperlink>
            <w:r>
              <w:rPr>
                <w:sz w:val="20"/>
                <w:color w:val="392c69"/>
              </w:rPr>
              <w:t xml:space="preserve">, от 25.10.2022 </w:t>
            </w:r>
            <w:hyperlink w:history="0" r:id="rId15" w:tooltip="Постановление Администрации города Покачи от 25.10.2022 N 1106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1106</w:t>
              </w:r>
            </w:hyperlink>
            <w:r>
              <w:rPr>
                <w:sz w:val="20"/>
                <w:color w:val="392c69"/>
              </w:rPr>
              <w:t xml:space="preserve">, от 19.04.2023 </w:t>
            </w:r>
            <w:hyperlink w:history="0" r:id="rId16" w:tooltip="Постановление Администрации города Покачи от 19.04.2023 N 320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320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30.10.2023 </w:t>
            </w:r>
            <w:hyperlink w:history="0" r:id="rId17" w:tooltip="Постановление Администрации города Покачи от 30.10.2023 N 859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859</w:t>
              </w:r>
            </w:hyperlink>
            <w:r>
              <w:rPr>
                <w:sz w:val="20"/>
                <w:color w:val="392c69"/>
              </w:rPr>
              <w:t xml:space="preserve">, от 14.11.2023 </w:t>
            </w:r>
            <w:hyperlink w:history="0" r:id="rId18" w:tooltip="Постановление Администрации города Покачи от 14.11.2023 N 914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914</w:t>
              </w:r>
            </w:hyperlink>
            <w:r>
              <w:rPr>
                <w:sz w:val="20"/>
                <w:color w:val="392c69"/>
              </w:rPr>
              <w:t xml:space="preserve">, от 14.08.2024 </w:t>
            </w:r>
            <w:hyperlink w:history="0" r:id="rId19" w:tooltip="Постановление Администрации города Покачи от 14.08.2024 N 778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778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 изм., внесенными постановлениями Администрации города Покачи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05.05.2022 </w:t>
            </w:r>
            <w:hyperlink w:history="0" r:id="rId20" w:tooltip="Постановление Администрации города Покачи от 05.05.2022 N 476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476</w:t>
              </w:r>
            </w:hyperlink>
            <w:r>
              <w:rPr>
                <w:sz w:val="20"/>
                <w:color w:val="392c69"/>
              </w:rPr>
              <w:t xml:space="preserve">, от 15.03.2024 </w:t>
            </w:r>
            <w:hyperlink w:history="0" r:id="rId21" w:tooltip="Постановление Администрации города Покачи от 15.03.2024 N 212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212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22" w:tooltip="&quot;Трудовой кодекс Российской Федерации&quot; от 30.12.2001 N 197-ФЗ (ред. от 08.08.2024) {КонсультантПлюс}">
        <w:r>
          <w:rPr>
            <w:sz w:val="20"/>
            <w:color w:val="0000ff"/>
          </w:rPr>
          <w:t xml:space="preserve">статьей 210</w:t>
        </w:r>
      </w:hyperlink>
      <w:r>
        <w:rPr>
          <w:sz w:val="20"/>
        </w:rPr>
        <w:t xml:space="preserve"> Трудового кодекса Российской Федерации, </w:t>
      </w:r>
      <w:hyperlink w:history="0" r:id="rId23" w:tooltip="Закон ХМАО - Югры от 27.05.2011 N 57-оз (ред. от 27.10.2022) &quot;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&quot; (принят Думой Ханты-Мансийского автономного округа - Югры 27.05.2011) (с изм. и доп., вступающими в силу с 01.01.2023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Ханты-Мансийского автономного округа - Югры от 27.05.2011 N 57-оз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труда", </w:t>
      </w:r>
      <w:hyperlink w:history="0" r:id="rId24" w:tooltip="Постановление Правительства ХМАО - Югры от 24.12.2021 N 578-п (ред. от 27.08.2024) &quot;О мерах по реализации государственной программы Ханты-Мансийского автономного округа - Югры &quot;Поддержка занятости населения&quot; (вместе с &quot;Порядком предоставления субвенций из бюджета Ханты-Мансийского автономного округа - Югры бюджетам муниципальных районов и городских округов Ханты-Мансийского автономного округа - Югры для осуществления переданных органам местного самоуправления муниципальных образований Ханты-Мансийского авто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Ханты-Мансийского автономного округа - Югры от 24.12.2021 N 578-п "О мерах по реализации государственной программы Ханты-Мансийского автономного округа - Югры "Поддержка занятости населения", </w:t>
      </w:r>
      <w:hyperlink w:history="0" r:id="rId25" w:tooltip="Постановление Правительства ХМАО - Югры от 06.06.2014 N 204-п (ред. от 07.07.2023) &quot;О концепции улучшения условий и охраны труда в Ханты-Мансийском автономном округе - Югре до 2030 года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Ханты-Мансийского автономного округа - Югры от 06.06.2014 N 204-п "О Концепции улучшения условий и охраны труда в Ханты-Мансийском автономном округе - Югре до 2030 года", </w:t>
      </w:r>
      <w:hyperlink w:history="0" r:id="rId26" w:tooltip="&quot;Устав города Покачи&quot; (принят решением Думы города Покачи от 20.07.2005 N 44) (ред. от 25.09.2024) (Зарегистрировано в ГУ Минюста РФ по Уральскому федеральному округу 17.11.2005 N RU863070002005011) {КонсультантПлюс}">
        <w:r>
          <w:rPr>
            <w:sz w:val="20"/>
            <w:color w:val="0000ff"/>
          </w:rPr>
          <w:t xml:space="preserve">частью 12 статьи 29</w:t>
        </w:r>
      </w:hyperlink>
      <w:r>
        <w:rPr>
          <w:sz w:val="20"/>
        </w:rPr>
        <w:t xml:space="preserve"> Устава города Покачи, </w:t>
      </w:r>
      <w:hyperlink w:history="0" r:id="rId27" w:tooltip="Постановление Администрации города Покачи от 26.10.2011 N 914 (ред. от 20.12.2017) &quot;Об осуществлении отдельных государственных полномочий в сфере трудовых отношений и государственного управления охраной труда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администрации города Покачи от 26.10.2011 N 914 "Об осуществлении отдельных государственных полномочий в сфере трудовых отношений и государственного управления охраной труда", в целях реализации основных направлений государственной политики в сфере охраны труда на территории города Покачи:</w:t>
      </w:r>
    </w:p>
    <w:p>
      <w:pPr>
        <w:pStyle w:val="0"/>
        <w:jc w:val="both"/>
      </w:pPr>
      <w:r>
        <w:rPr>
          <w:sz w:val="20"/>
        </w:rPr>
        <w:t xml:space="preserve">(преамбула в ред. </w:t>
      </w:r>
      <w:hyperlink w:history="0" r:id="rId28" w:tooltip="Постановление Администрации города Покачи от 05.08.2022 N 827 &quot;О внесении изменений в постановление администрации города Покачи от 12.10.2018 N 993 &quot;Об утверждении муниципальной программы &quot;Улучшение условий охраны труда на территории города Покачи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города Покачи от 05.08.2022 N 827)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муниципальную </w:t>
      </w:r>
      <w:hyperlink w:history="0" w:anchor="P39" w:tooltip="МУНИЦИПАЛЬНАЯ ПРОГРАММА">
        <w:r>
          <w:rPr>
            <w:sz w:val="20"/>
            <w:color w:val="0000ff"/>
          </w:rPr>
          <w:t xml:space="preserve">программу</w:t>
        </w:r>
      </w:hyperlink>
      <w:r>
        <w:rPr>
          <w:sz w:val="20"/>
        </w:rPr>
        <w:t xml:space="preserve"> "Улучшение условий охраны труда на территории города Покачи", согласно приложению.</w:t>
      </w:r>
    </w:p>
    <w:p>
      <w:pPr>
        <w:pStyle w:val="0"/>
        <w:jc w:val="both"/>
      </w:pPr>
      <w:r>
        <w:rPr>
          <w:sz w:val="20"/>
        </w:rPr>
        <w:t xml:space="preserve">(в ред. постановлений Администрации города Покачи от 27.10.2020 </w:t>
      </w:r>
      <w:hyperlink w:history="0" r:id="rId29" w:tooltip="Постановление Администрации города Покачи от 27.10.2020 N 884 &quot;О внесении изменений в постановление администрации города Покачи от 12.10.2018 N 993 &quot;Об утверждении муниципальной программы &quot;Улучшение условий и охраны труда на территории города Покачи на 2019 - 2022 годы&quot; {КонсультантПлюс}">
        <w:r>
          <w:rPr>
            <w:sz w:val="20"/>
            <w:color w:val="0000ff"/>
          </w:rPr>
          <w:t xml:space="preserve">N 884</w:t>
        </w:r>
      </w:hyperlink>
      <w:r>
        <w:rPr>
          <w:sz w:val="20"/>
        </w:rPr>
        <w:t xml:space="preserve">, от 29.10.2020 </w:t>
      </w:r>
      <w:hyperlink w:history="0" r:id="rId30" w:tooltip="Постановление Администрации города Покачи от 29.10.2020 N 902 &quot;О внесении изменений в постановление администрации города Покачи от 12.10.2018 N 993 &quot;Об утверждении муниципальной программы &quot;Улучшение условий и охраны труда на территории города Покачи на 2019 - 2030 годы&quot; {КонсультантПлюс}">
        <w:r>
          <w:rPr>
            <w:sz w:val="20"/>
            <w:color w:val="0000ff"/>
          </w:rPr>
          <w:t xml:space="preserve">N 902</w:t>
        </w:r>
      </w:hyperlink>
      <w:r>
        <w:rPr>
          <w:sz w:val="20"/>
        </w:rPr>
        <w:t xml:space="preserve">, от 05.08.2022 </w:t>
      </w:r>
      <w:hyperlink w:history="0" r:id="rId31" w:tooltip="Постановление Администрации города Покачи от 05.08.2022 N 827 &quot;О внесении изменений в постановление администрации города Покачи от 12.10.2018 N 993 &quot;Об утверждении муниципальной программы &quot;Улучшение условий охраны труда на территории города Покачи&quot; {КонсультантПлюс}">
        <w:r>
          <w:rPr>
            <w:sz w:val="20"/>
            <w:color w:val="0000ff"/>
          </w:rPr>
          <w:t xml:space="preserve">N 827</w:t>
        </w:r>
      </w:hyperlink>
      <w:r>
        <w:rPr>
          <w:sz w:val="20"/>
        </w:rPr>
        <w:t xml:space="preserve">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Настоящее постановление вступает в силу с 01.01.2019.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Опубликовать настоящее постановление в газете "Покачевский вестник".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Контроль за выполнением постановления возложить на заместителя главы города Покачи Г.Д. Гвоздь.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Исполняющий обязанности главы</w:t>
      </w:r>
    </w:p>
    <w:p>
      <w:pPr>
        <w:pStyle w:val="0"/>
        <w:jc w:val="right"/>
      </w:pPr>
      <w:r>
        <w:rPr>
          <w:sz w:val="20"/>
        </w:rPr>
        <w:t xml:space="preserve">города Покачи, первый заместитель</w:t>
      </w:r>
    </w:p>
    <w:p>
      <w:pPr>
        <w:pStyle w:val="0"/>
        <w:jc w:val="right"/>
      </w:pPr>
      <w:r>
        <w:rPr>
          <w:sz w:val="20"/>
        </w:rPr>
        <w:t xml:space="preserve">главы города Покачи</w:t>
      </w:r>
    </w:p>
    <w:p>
      <w:pPr>
        <w:pStyle w:val="0"/>
        <w:jc w:val="right"/>
      </w:pPr>
      <w:r>
        <w:rPr>
          <w:sz w:val="20"/>
        </w:rPr>
        <w:t xml:space="preserve">В.Г.КАЗАНЦЕВА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постановлению</w:t>
      </w:r>
    </w:p>
    <w:p>
      <w:pPr>
        <w:pStyle w:val="0"/>
        <w:jc w:val="right"/>
      </w:pPr>
      <w:r>
        <w:rPr>
          <w:sz w:val="20"/>
        </w:rPr>
        <w:t xml:space="preserve">администрации города Покачи</w:t>
      </w:r>
    </w:p>
    <w:p>
      <w:pPr>
        <w:pStyle w:val="0"/>
        <w:jc w:val="right"/>
      </w:pPr>
      <w:r>
        <w:rPr>
          <w:sz w:val="20"/>
        </w:rPr>
        <w:t xml:space="preserve">от 12.10.2018 N 993</w:t>
      </w:r>
    </w:p>
    <w:p>
      <w:pPr>
        <w:pStyle w:val="0"/>
        <w:jc w:val="both"/>
      </w:pPr>
      <w:r>
        <w:rPr>
          <w:sz w:val="20"/>
        </w:rPr>
      </w:r>
    </w:p>
    <w:bookmarkStart w:id="39" w:name="P39"/>
    <w:bookmarkEnd w:id="39"/>
    <w:p>
      <w:pPr>
        <w:pStyle w:val="2"/>
        <w:jc w:val="center"/>
      </w:pPr>
      <w:r>
        <w:rPr>
          <w:sz w:val="20"/>
        </w:rPr>
        <w:t xml:space="preserve">МУНИЦИПАЛЬНАЯ ПРОГРАММА</w:t>
      </w:r>
    </w:p>
    <w:p>
      <w:pPr>
        <w:pStyle w:val="2"/>
        <w:jc w:val="center"/>
      </w:pPr>
      <w:r>
        <w:rPr>
          <w:sz w:val="20"/>
        </w:rPr>
        <w:t xml:space="preserve">"УЛУЧШЕНИЕ УСЛОВИЙ ОХРАНЫ ТРУДА НА ТЕРРИТОРИИ ГОРОДА ПОКАЧИ"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города Покачи от 05.08.2022 </w:t>
            </w:r>
            <w:hyperlink w:history="0" r:id="rId32" w:tooltip="Постановление Администрации города Покачи от 05.08.2022 N 827 &quot;О внесении изменений в постановление администрации города Покачи от 12.10.2018 N 993 &quot;Об утверждении муниципальной программы &quot;Улучшение условий охраны труда на территории города Покачи&quot; {КонсультантПлюс}">
              <w:r>
                <w:rPr>
                  <w:sz w:val="20"/>
                  <w:color w:val="0000ff"/>
                </w:rPr>
                <w:t xml:space="preserve">N 827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21.12.2022 </w:t>
            </w:r>
            <w:hyperlink w:history="0" r:id="rId33" w:tooltip="Постановление Администрации города Покачи от 21.12.2022 N 1275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1275</w:t>
              </w:r>
            </w:hyperlink>
            <w:r>
              <w:rPr>
                <w:sz w:val="20"/>
                <w:color w:val="392c69"/>
              </w:rPr>
              <w:t xml:space="preserve">, от 25.10.2022 </w:t>
            </w:r>
            <w:hyperlink w:history="0" r:id="rId34" w:tooltip="Постановление Администрации города Покачи от 25.10.2022 N 1106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1106</w:t>
              </w:r>
            </w:hyperlink>
            <w:r>
              <w:rPr>
                <w:sz w:val="20"/>
                <w:color w:val="392c69"/>
              </w:rPr>
              <w:t xml:space="preserve">, от 19.04.2023 </w:t>
            </w:r>
            <w:hyperlink w:history="0" r:id="rId35" w:tooltip="Постановление Администрации города Покачи от 19.04.2023 N 320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320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30.10.2023 </w:t>
            </w:r>
            <w:hyperlink w:history="0" r:id="rId36" w:tooltip="Постановление Администрации города Покачи от 30.10.2023 N 859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859</w:t>
              </w:r>
            </w:hyperlink>
            <w:r>
              <w:rPr>
                <w:sz w:val="20"/>
                <w:color w:val="392c69"/>
              </w:rPr>
              <w:t xml:space="preserve">, от 14.11.2023 </w:t>
            </w:r>
            <w:hyperlink w:history="0" r:id="rId37" w:tooltip="Постановление Администрации города Покачи от 14.11.2023 N 914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914</w:t>
              </w:r>
            </w:hyperlink>
            <w:r>
              <w:rPr>
                <w:sz w:val="20"/>
                <w:color w:val="392c69"/>
              </w:rPr>
              <w:t xml:space="preserve">, от 14.08.2024 </w:t>
            </w:r>
            <w:hyperlink w:history="0" r:id="rId38" w:tooltip="Постановление Администрации города Покачи от 14.08.2024 N 778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778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 изм., внесенными постановлениями Администрации города Покачи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05.05.2022 </w:t>
            </w:r>
            <w:hyperlink w:history="0" r:id="rId39" w:tooltip="Постановление Администрации города Покачи от 05.05.2022 N 476 &quot;О внесении изменений в муниципальную программу &quot;Улучшение условий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476</w:t>
              </w:r>
            </w:hyperlink>
            <w:r>
              <w:rPr>
                <w:sz w:val="20"/>
                <w:color w:val="392c69"/>
              </w:rPr>
              <w:t xml:space="preserve">, от 15.03.2024 </w:t>
            </w:r>
            <w:hyperlink w:history="0" r:id="rId40" w:tooltip="Постановление Администрации города Покачи от 15.03.2024 N 212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      <w:r>
                <w:rPr>
                  <w:sz w:val="20"/>
                  <w:color w:val="0000ff"/>
                </w:rPr>
                <w:t xml:space="preserve">N 212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1"/>
        <w:ind w:firstLine="540"/>
        <w:jc w:val="both"/>
      </w:pPr>
      <w:r>
        <w:rPr>
          <w:sz w:val="20"/>
        </w:rPr>
        <w:t xml:space="preserve">Статья 1. Общие положения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Муниципальная программа "Улучшение условий и охраны труда на территории города Покачи" (далее - муниципальная программа) разработана в целях реализации основных положений </w:t>
      </w:r>
      <w:hyperlink w:history="0" r:id="rId41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>
          <w:rPr>
            <w:sz w:val="20"/>
            <w:color w:val="0000ff"/>
          </w:rPr>
          <w:t xml:space="preserve">Указа</w:t>
        </w:r>
      </w:hyperlink>
      <w:r>
        <w:rPr>
          <w:sz w:val="20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w:history="0" r:id="rId42" w:tooltip="Указ Президента РФ от 07.05.2024 N 309 &quot;О национальных целях развития Российской Федерации на период до 2030 года и на перспективу до 2036 года&quot; {КонсультантПлюс}">
        <w:r>
          <w:rPr>
            <w:sz w:val="20"/>
            <w:color w:val="0000ff"/>
          </w:rPr>
          <w:t xml:space="preserve">Указа</w:t>
        </w:r>
      </w:hyperlink>
      <w:r>
        <w:rPr>
          <w:sz w:val="20"/>
        </w:rPr>
        <w:t xml:space="preserve"> Президента Российской Федерации от 07.05.2024 N 309 "О национальных целях развития Российской Федерации на период до 2030 года и на перспективу до 2036 года",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со </w:t>
      </w:r>
      <w:hyperlink w:history="0" r:id="rId43" w:tooltip="Распоряжение Правительства ХМАО - Югры от 03.11.2022 N 679-рп &quot;О Стратегии социально-экономического развития Ханты-Мансийского автономного округа - Югры до 2036 года с целевыми ориентирами до 2050 года&quot; {КонсультантПлюс}">
        <w:r>
          <w:rPr>
            <w:sz w:val="20"/>
            <w:color w:val="0000ff"/>
          </w:rPr>
          <w:t xml:space="preserve">Стратегией</w:t>
        </w:r>
      </w:hyperlink>
      <w:r>
        <w:rPr>
          <w:sz w:val="20"/>
        </w:rPr>
        <w:t xml:space="preserve"> социально-экономического развития Ханты-Мансийского автономного округа - Югры до 2036 года с целевыми ориентирами до 2050 года, утвержденной распоряжением Правительства Ханты-Мансийского автономного округа - Югры от 03.11.2022 N 679-рп, со </w:t>
      </w:r>
      <w:hyperlink w:history="0" r:id="rId44" w:tooltip="Решение Думы города Покачи от 26.06.2024 N 47 &quot;О Стратегии социально-экономического развития города Покачи до 2036 года с целевыми ориентирами до 2050 года&quot; (принято Думой города Покачи 25.06.2024) {КонсультантПлюс}">
        <w:r>
          <w:rPr>
            <w:sz w:val="20"/>
            <w:color w:val="0000ff"/>
          </w:rPr>
          <w:t xml:space="preserve">Стратегией</w:t>
        </w:r>
      </w:hyperlink>
      <w:r>
        <w:rPr>
          <w:sz w:val="20"/>
        </w:rPr>
        <w:t xml:space="preserve"> социально-экономического развития города Покачи до 2036 года с целевыми ориентирами до 2050 года, утвержденной решением Думы города Покачи от 26.06.2024 N 47.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5" w:tooltip="Постановление Администрации города Покачи от 14.08.2024 N 778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города Покачи от 14.08.2024 N 778)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 2012 года органы местного самоуправления города Покачи осуществляют свою деятельность в области охраны труда в соответствии с </w:t>
      </w:r>
      <w:hyperlink w:history="0" r:id="rId46" w:tooltip="Закон ХМАО - Югры от 27.05.2011 N 57-оз (ред. от 27.10.2022) &quot;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&quot; (принят Думой Ханты-Мансийского автономного округа - Югры 27.05.2011) (с изм. и доп., вступающими в силу с 01.01.2023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Ханты-Мансийского автономного округа - Югры от 27.05.2011 N 57-оз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Наделение органов местного самоуправления отдельными государственными полномочиями в области охраны труда предусматривает принципиально новый подход к регулированию трудовых отношений в области условий и охраны труда. Новые отношения с субъектом Российской Федерации при отсутствии завершенной системы управления охраной труда, соответствующей новым экономическим и трудовым отношениям, предопределяют необходимость муниципального управления в решении неотложных задач по улучшению условий и охраны труда в организациях города.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этой связи муниципальная программа, являясь важнейшим инструментом реализации государственной политики в области охраны труда, позволит планомерно проводить в организациях города работу по обеспечению охраны труда, предусматривать необходимые материальные и организационные ресурсы для реализации приоритетных мероприятий, направленных на достижение главной цели.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Метод управления муниципальной программой основывается на принципах проектного управления. Ключевым фактором проектного управления является наличие определенного плана, минимизации рисков и отклонений от плана, эффективного управления изменениями. Куратором Программы является заместитель главы города Покачи. Куратор Программы осуществляет непосредственный контроль за реализацией Программы, выполнением программных мероприятий и несет ответственность за ее эффективность. Для управления Программой куратор осуществляет: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разработку и принятие муниципальных правовых актов, необходимых для выполнения муниципальной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организацию реализации мероприятий муниципальной программы ответственным исполнителем муниципальной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муниципальной программе, в соответствии с ее целями и задачами, предусмотрены: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мероприятие 1 "Осуществление предупредительных мер по сокращению производственного травматизма", которое предусматривает: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обеспечение деятельности по осуществлению отдельных государственных полномочий в сфере трудовых отношений и государственного управления охраной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обеспечение деятельности межведомственной комиссии по охране труда при администрации города Покачи;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сбор информации о произошедших несчастных случаях в организациях города, проведение анализа причин производственного травматизма и доведение до работодателей города;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разработка постановлений и распоряжений администрации города по вопросам организации мероприятий, направленных на улучшение условий и охраны труда.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мероприятие 2 "Повышение квалификации руководителей и специалистов по охране труда" которое предусматривает: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подготовка методических пособий по охране труда, аналитических материалов;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организация и проведение конкурсов;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организация и проведение семинаров, совещаний с руководителями и специалистами по охране труда муниципальных учреждений.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Оценка эффективности реализации муниципальной программы осуществляется в порядке, установленном муниципальным правовым актом.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Ответственным исполнителем муниципальной программы является сектор по социальным вопросам администрации города Покачи.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47" w:tooltip="Постановление Администрации города Покачи от 14.11.2023 N 914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города Покачи от 14.11.2023 N 914)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Ответственный исполнитель: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формирует проект муниципальной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выносит на общественное обсуждение проект муниципальной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разрабатывает в пределах своих полномочий проекты правовых актов, необходимых для реализации муниципальной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организовывает реализацию мероприятий муниципальной программы;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обеспечивает информирование общественности о ходе и результатах реализации муниципальной программы, финансировании программных мероприятий, в том числе о механизмах реализации отдельных программных мероприятий.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Должностные лица ответственного исполнителя муниципальной программы несут персональную ответственность за реализацию мероприятий и достижение показателей, целевое и эффективное использование выделяемых на ее выполнение средств, уточняют сроки реализации ее мероприятий и объемы их финансирования.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1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Паспорт муниципальной программы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(в ред. </w:t>
      </w:r>
      <w:hyperlink w:history="0" r:id="rId48" w:tooltip="Постановление Администрации города Покачи от 14.08.2024 N 778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города Покачи</w:t>
      </w:r>
    </w:p>
    <w:p>
      <w:pPr>
        <w:pStyle w:val="0"/>
        <w:jc w:val="center"/>
      </w:pPr>
      <w:r>
        <w:rPr>
          <w:sz w:val="20"/>
        </w:rPr>
        <w:t xml:space="preserve">от 14.08.2024 N 778)</w:t>
      </w:r>
    </w:p>
    <w:p>
      <w:pPr>
        <w:pStyle w:val="0"/>
        <w:jc w:val="center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54"/>
        <w:gridCol w:w="454"/>
        <w:gridCol w:w="1789"/>
        <w:gridCol w:w="2284"/>
        <w:gridCol w:w="1264"/>
        <w:gridCol w:w="1264"/>
        <w:gridCol w:w="1264"/>
        <w:gridCol w:w="604"/>
        <w:gridCol w:w="604"/>
        <w:gridCol w:w="1774"/>
        <w:gridCol w:w="3049"/>
      </w:tblGrid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муниципальной программы</w:t>
            </w:r>
          </w:p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Улучшение условий и охраны труда в городе Покачи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Сроки реализации муниципальной программы</w:t>
            </w:r>
          </w:p>
        </w:tc>
        <w:tc>
          <w:tcPr>
            <w:gridSpan w:val="7"/>
            <w:tcW w:w="9823" w:type="dxa"/>
          </w:tcPr>
          <w:p>
            <w:pPr>
              <w:pStyle w:val="0"/>
            </w:pPr>
            <w:r>
              <w:rPr>
                <w:sz w:val="20"/>
              </w:rPr>
              <w:t xml:space="preserve">2019 - 2030 годы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Куратор муниципальной 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Заместитель главы города Покачи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Ответственный исполнитель муниципальной 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Соисполнители муниципальной 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Национальная цель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Цель муниципальной 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Улучшение условий и охраны труда у работодателей, расположенных на территории города Покачи и, как следствие, снижение уровня производственного травматизма и профессиональной заболеваемости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Задача муниципальной 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Реализация 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</w:t>
            </w:r>
          </w:p>
        </w:tc>
      </w:tr>
      <w:tr>
        <w:tc>
          <w:tcPr>
            <w:tcW w:w="2254" w:type="dxa"/>
          </w:tcPr>
          <w:p>
            <w:pPr>
              <w:pStyle w:val="0"/>
            </w:pPr>
            <w:r>
              <w:rPr>
                <w:sz w:val="20"/>
              </w:rPr>
              <w:t xml:space="preserve">Подпрограммы</w:t>
            </w:r>
          </w:p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1. Осуществление предупредительных мер по сокращению производственного травматизма.</w:t>
            </w:r>
          </w:p>
          <w:p>
            <w:pPr>
              <w:pStyle w:val="0"/>
            </w:pPr>
            <w:r>
              <w:rPr>
                <w:sz w:val="20"/>
              </w:rPr>
              <w:t xml:space="preserve">2. Повышение квалификации руководителей и специалистов по охране труда.</w:t>
            </w:r>
          </w:p>
        </w:tc>
      </w:tr>
      <w:tr>
        <w:tc>
          <w:tcPr>
            <w:tcW w:w="225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78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целевого показателя</w:t>
            </w:r>
          </w:p>
        </w:tc>
        <w:tc>
          <w:tcPr>
            <w:tcW w:w="228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Документ-основание</w:t>
            </w:r>
          </w:p>
        </w:tc>
        <w:tc>
          <w:tcPr>
            <w:gridSpan w:val="7"/>
            <w:tcW w:w="982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Целевые значения по годам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Базовое значение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tcW w:w="17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 момент окончания реализации муниципальной программы (2030)</w:t>
            </w:r>
          </w:p>
        </w:tc>
        <w:tc>
          <w:tcPr>
            <w:tcW w:w="304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Ответственный исполнитель/соисполнитель за достижение показателя</w:t>
            </w:r>
          </w:p>
        </w:tc>
      </w:tr>
      <w:tr>
        <w:tc>
          <w:tcPr>
            <w:vMerge w:val="continue"/>
          </w:tcPr>
          <w:p/>
        </w:tc>
        <w:tc>
          <w:tcPr>
            <w:tcW w:w="454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789" w:type="dxa"/>
          </w:tcPr>
          <w:p>
            <w:pPr>
              <w:pStyle w:val="0"/>
            </w:pPr>
            <w:r>
              <w:rPr>
                <w:sz w:val="20"/>
              </w:rPr>
              <w:t xml:space="preserve">1. Увеличение доли рабочих мест в муниципальных учреждениях, на которых проведена специальная оценка условий труда с 92,9 до 100%.</w:t>
            </w:r>
          </w:p>
        </w:tc>
        <w:tc>
          <w:tcPr>
            <w:tcW w:w="2284" w:type="dxa"/>
          </w:tcPr>
          <w:p>
            <w:pPr>
              <w:pStyle w:val="0"/>
            </w:pPr>
            <w:hyperlink w:history="0" r:id="rId51" w:tooltip="Постановление Правительства ХМАО - Югры от 10.11.2023 N 550-п (ред. от 06.08.2024) &quot;О государственной программе Ханты-Мансийского автономного округа - Югры &quot;Развитие образования&quot; {КонсультантПлюс}">
              <w:r>
                <w:rPr>
                  <w:sz w:val="20"/>
                  <w:color w:val="0000ff"/>
                </w:rPr>
                <w:t xml:space="preserve">Постановление</w:t>
              </w:r>
            </w:hyperlink>
            <w:r>
              <w:rPr>
                <w:sz w:val="20"/>
              </w:rPr>
              <w:t xml:space="preserve"> Правительства Ханты-Мансийского автономного округа - Югры от 10.11.2023 N 550-п "О государственной программе Ханты-Мансийского автономного округа - Югры "Развитие образования"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92,9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77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3049" w:type="dxa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</w:tr>
      <w:tr>
        <w:tc>
          <w:tcPr>
            <w:vMerge w:val="continue"/>
          </w:tcPr>
          <w:p/>
        </w:tc>
        <w:tc>
          <w:tcPr>
            <w:tcW w:w="454" w:type="dxa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789" w:type="dxa"/>
          </w:tcPr>
          <w:p>
            <w:pPr>
              <w:pStyle w:val="0"/>
            </w:pPr>
            <w:r>
              <w:rPr>
                <w:sz w:val="20"/>
              </w:rPr>
              <w:t xml:space="preserve">Увеличение доли руководителей и специалистов муниципальных учреждений города, прошедших обучение и проверку знаний требований охраны труда в обучающих организациях с 72,6 до 100%.</w:t>
            </w:r>
          </w:p>
        </w:tc>
        <w:tc>
          <w:tcPr>
            <w:tcW w:w="2284" w:type="dxa"/>
          </w:tcPr>
          <w:p>
            <w:pPr>
              <w:pStyle w:val="0"/>
            </w:pPr>
            <w:hyperlink w:history="0" r:id="rId52" w:tooltip="Постановление Правительства ХМАО - Югры от 10.11.2023 N 550-п (ред. от 06.08.2024) &quot;О государственной программе Ханты-Мансийского автономного округа - Югры &quot;Развитие образования&quot; {КонсультантПлюс}">
              <w:r>
                <w:rPr>
                  <w:sz w:val="20"/>
                  <w:color w:val="0000ff"/>
                </w:rPr>
                <w:t xml:space="preserve">Постановление</w:t>
              </w:r>
            </w:hyperlink>
            <w:r>
              <w:rPr>
                <w:sz w:val="20"/>
              </w:rPr>
              <w:t xml:space="preserve"> Правительства Ханты-Мансийского автономного округа - Югры от 10.11.2023 N 550-п "О государственной программе Ханты-Мансийского автономного округа - Югры "Развитие образования"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72,6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77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3049" w:type="dxa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</w:tr>
      <w:tr>
        <w:tc>
          <w:tcPr>
            <w:tcW w:w="225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Параметры финансового обеспечения муниципальной программы</w:t>
            </w:r>
          </w:p>
        </w:tc>
        <w:tc>
          <w:tcPr>
            <w:gridSpan w:val="2"/>
            <w:tcW w:w="2243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Источники финансирования</w:t>
            </w:r>
          </w:p>
        </w:tc>
        <w:tc>
          <w:tcPr>
            <w:gridSpan w:val="8"/>
            <w:tcW w:w="121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Расходы по годам (рублей)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vMerge w:val="continue"/>
          </w:tcPr>
          <w:p/>
        </w:tc>
        <w:tc>
          <w:tcPr>
            <w:tcW w:w="22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 (2019 - 2030)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gridSpan w:val="2"/>
            <w:tcW w:w="12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gridSpan w:val="2"/>
            <w:tcW w:w="482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2027 - 2030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13111877,53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1883916,00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1883856,00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13054474,28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57403,25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tcW w:w="225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Параметры финансового обеспечения региональных проектов, проектов Ханты-Мансийского автономного округа - Югры реализуемых в городе Покачи</w:t>
            </w:r>
          </w:p>
        </w:tc>
        <w:tc>
          <w:tcPr>
            <w:gridSpan w:val="2"/>
            <w:tcW w:w="2243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Источники финансирования</w:t>
            </w:r>
          </w:p>
        </w:tc>
        <w:tc>
          <w:tcPr>
            <w:gridSpan w:val="8"/>
            <w:tcW w:w="121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Расходы по годам (рублей)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vMerge w:val="continue"/>
          </w:tcPr>
          <w:p/>
        </w:tc>
        <w:tc>
          <w:tcPr>
            <w:tcW w:w="22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 (2019 - 2030)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gridSpan w:val="2"/>
            <w:tcW w:w="12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gridSpan w:val="2"/>
            <w:tcW w:w="482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2028 - 2030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Портфель проектов (срок реализации дд.мм.гг - дд.мм.гггг)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10"/>
            <w:tcW w:w="14350" w:type="dxa"/>
          </w:tcPr>
          <w:p>
            <w:pPr>
              <w:pStyle w:val="0"/>
            </w:pPr>
            <w:r>
              <w:rPr>
                <w:sz w:val="20"/>
              </w:rPr>
              <w:t xml:space="preserve">Региональный проект (срок реализации дд.мм.гг - дд.мм.гггг)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gridSpan w:val="2"/>
            <w:tcW w:w="2243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3"/>
            <w:tcW w:w="4497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Объем налоговых расходов муниципального образования</w:t>
            </w:r>
          </w:p>
        </w:tc>
        <w:tc>
          <w:tcPr>
            <w:gridSpan w:val="8"/>
            <w:tcW w:w="121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Расходы по годам (рублей)</w:t>
            </w:r>
          </w:p>
        </w:tc>
      </w:tr>
      <w:tr>
        <w:tc>
          <w:tcPr>
            <w:gridSpan w:val="3"/>
            <w:vMerge w:val="continue"/>
          </w:tcPr>
          <w:p/>
        </w:tc>
        <w:tc>
          <w:tcPr>
            <w:tcW w:w="22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 (2019 - 2030)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gridSpan w:val="2"/>
            <w:tcW w:w="12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gridSpan w:val="2"/>
            <w:tcW w:w="482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2028 - 2030</w:t>
            </w:r>
          </w:p>
        </w:tc>
      </w:tr>
      <w:tr>
        <w:tc>
          <w:tcPr>
            <w:gridSpan w:val="3"/>
            <w:vMerge w:val="continue"/>
          </w:tcPr>
          <w:p/>
        </w:tc>
        <w:tc>
          <w:tcPr>
            <w:tcW w:w="22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1208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gridSpan w:val="2"/>
            <w:tcW w:w="4823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</w:tbl>
    <w:p>
      <w:pPr>
        <w:pStyle w:val="0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2</w:t>
      </w:r>
    </w:p>
    <w:p>
      <w:pPr>
        <w:pStyle w:val="0"/>
        <w:jc w:val="right"/>
      </w:pPr>
      <w:r>
        <w:rPr>
          <w:sz w:val="20"/>
        </w:rPr>
      </w:r>
    </w:p>
    <w:bookmarkStart w:id="279" w:name="P279"/>
    <w:bookmarkEnd w:id="279"/>
    <w:p>
      <w:pPr>
        <w:pStyle w:val="2"/>
        <w:jc w:val="center"/>
      </w:pPr>
      <w:r>
        <w:rPr>
          <w:sz w:val="20"/>
        </w:rPr>
        <w:t xml:space="preserve">Распределение финансовых ресурсов муниципальной программы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(в ред. </w:t>
      </w:r>
      <w:hyperlink w:history="0" r:id="rId53" w:tooltip="Постановление Администрации города Покачи от 14.08.2024 N 778 &quot;О внесении изменений в муниципальную программу &quot;Улучшение условий и охраны труда на территории города Покачи&quot;, утвержденную постановлением администрации города Покачи от 12.10.2018 N 993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Администрации города Покачи</w:t>
      </w:r>
    </w:p>
    <w:p>
      <w:pPr>
        <w:pStyle w:val="0"/>
        <w:jc w:val="center"/>
      </w:pPr>
      <w:r>
        <w:rPr>
          <w:sz w:val="20"/>
        </w:rPr>
        <w:t xml:space="preserve">от 14.08.2024 N 778)</w:t>
      </w:r>
    </w:p>
    <w:p>
      <w:pPr>
        <w:pStyle w:val="0"/>
        <w:jc w:val="center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534"/>
        <w:gridCol w:w="2164"/>
        <w:gridCol w:w="3049"/>
        <w:gridCol w:w="1849"/>
        <w:gridCol w:w="1384"/>
        <w:gridCol w:w="1264"/>
        <w:gridCol w:w="1264"/>
        <w:gridCol w:w="1264"/>
        <w:gridCol w:w="1264"/>
        <w:gridCol w:w="1264"/>
        <w:gridCol w:w="1264"/>
        <w:gridCol w:w="1264"/>
        <w:gridCol w:w="1264"/>
        <w:gridCol w:w="604"/>
        <w:gridCol w:w="604"/>
        <w:gridCol w:w="604"/>
        <w:gridCol w:w="604"/>
      </w:tblGrid>
      <w:tr>
        <w:tc>
          <w:tcPr>
            <w:tcW w:w="15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Номер структурного элемента (основного мероприятия)</w:t>
            </w:r>
          </w:p>
        </w:tc>
        <w:tc>
          <w:tcPr>
            <w:tcW w:w="216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Ответственный исполнитель/соисполнитель</w:t>
            </w:r>
          </w:p>
        </w:tc>
        <w:tc>
          <w:tcPr>
            <w:tcW w:w="184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Источники финансирования</w:t>
            </w:r>
          </w:p>
        </w:tc>
        <w:tc>
          <w:tcPr>
            <w:gridSpan w:val="13"/>
            <w:tcW w:w="1391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Финансовые затраты на реализацию (руб.)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38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gridSpan w:val="12"/>
            <w:tcW w:w="12528" w:type="dxa"/>
          </w:tcPr>
          <w:p>
            <w:pPr>
              <w:pStyle w:val="0"/>
              <w:jc w:val="center"/>
            </w:pPr>
            <w:r>
              <w:rPr>
                <w:sz w:val="20"/>
              </w:rPr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2019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2020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2021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2022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2023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2028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2030</w:t>
            </w:r>
          </w:p>
        </w:tc>
      </w:tr>
      <w:tr>
        <w:tc>
          <w:tcPr>
            <w:tcW w:w="15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1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304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84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3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2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</w:tr>
      <w:tr>
        <w:tc>
          <w:tcPr>
            <w:tcW w:w="153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16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предупредительных мер по сокращению производственного травматизма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13088820,53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1365700,00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1463074,28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1479864,90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1776581,35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13054474,28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1365700,00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1463074,28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1464300,00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1757800,00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34346,25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15564,90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18781,35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tcW w:w="153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16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Повышение квалификации руководителей и специалистов по охране труда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23057,00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4200,00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23057,00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4200,00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tcW w:w="369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Всего по муниципальной программе: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13111877,53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1370700,00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1467274,28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1484864,90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1781581,35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1883916,00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13054474,28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1365700,00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1463074,28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1464300,00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1757800,00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57403,25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4200,00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20564,90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23781,35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tcW w:w="369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Инвестиции в объекты муниципальной собственности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tcW w:w="369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расходы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13111877,53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1370700,00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1467274,28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1484864,90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1781581,35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1883916,00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13054474,28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1365700,00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1463074,28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1464300,00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1757800,00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57403,25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4200,00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20564,90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23781,35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tcW w:w="3698" w:type="dxa"/>
          </w:tcPr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30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369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Ответственный исполнитель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Сектор по социальным вопросам администрации города Покачи</w:t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13111877,53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1370700,00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1467274,28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1484864,90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1781581,35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1883916,00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1883856,00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13054474,28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1365700,00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1355800,00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1463074,28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1464300,00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1757800,00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1882600,00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57403,25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5000,00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4200,00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20564,90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23781,35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1316,00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1285,00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1256,00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tcW w:w="3698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Соисполнитель</w:t>
            </w:r>
          </w:p>
        </w:tc>
        <w:tc>
          <w:tcPr>
            <w:tcW w:w="3049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  <w:tr>
        <w:tc>
          <w:tcPr>
            <w:gridSpan w:val="2"/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849" w:type="dxa"/>
          </w:tcPr>
          <w:p>
            <w:pPr>
              <w:pStyle w:val="0"/>
            </w:pPr>
            <w:r>
              <w:rPr>
                <w:sz w:val="20"/>
              </w:rPr>
              <w:t xml:space="preserve">иные источники финансирования</w:t>
            </w:r>
          </w:p>
        </w:tc>
        <w:tc>
          <w:tcPr>
            <w:tcW w:w="138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2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</w:tbl>
    <w:p>
      <w:pPr>
        <w:sectPr>
          <w:headerReference w:type="default" r:id="rId49"/>
          <w:headerReference w:type="first" r:id="rId49"/>
          <w:footerReference w:type="default" r:id="rId50"/>
          <w:footerReference w:type="first" r:id="rId50"/>
          <w:pgSz w:w="16838" w:h="11906" w:orient="landscape"/>
          <w:pgMar w:top="1133" w:right="397" w:bottom="566" w:left="397" w:header="0" w:footer="0" w:gutter="0"/>
          <w:titlePg/>
        </w:sectPr>
      </w:pP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3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Перечень структурных элементов (основных мероприятий)</w:t>
      </w:r>
    </w:p>
    <w:p>
      <w:pPr>
        <w:pStyle w:val="2"/>
        <w:jc w:val="center"/>
      </w:pPr>
      <w:r>
        <w:rPr>
          <w:sz w:val="20"/>
        </w:rPr>
        <w:t xml:space="preserve">муниципальной программы</w:t>
      </w:r>
    </w:p>
    <w:p>
      <w:pPr>
        <w:pStyle w:val="0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850"/>
        <w:gridCol w:w="3175"/>
        <w:gridCol w:w="3402"/>
        <w:gridCol w:w="1639"/>
      </w:tblGrid>
      <w:tr>
        <w:tc>
          <w:tcPr>
            <w:tcW w:w="85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структурного элемента (основного мероприятия)</w:t>
            </w:r>
          </w:p>
        </w:tc>
        <w:tc>
          <w:tcPr>
            <w:tcW w:w="317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структурного элемента (основного мероприятия)</w:t>
            </w:r>
          </w:p>
        </w:tc>
        <w:tc>
          <w:tcPr>
            <w:tcW w:w="340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Направления расходов структурного элемента (основного мероприятия)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порядка, номер приложения (при наличии)</w:t>
            </w:r>
          </w:p>
        </w:tc>
      </w:tr>
      <w:tr>
        <w:tc>
          <w:tcPr>
            <w:tcW w:w="85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317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340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</w:tr>
      <w:tr>
        <w:tc>
          <w:tcPr>
            <w:gridSpan w:val="4"/>
            <w:tcW w:w="906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Цель: Улучшение условий и охраны труда у работодателей, расположенных на территории города Покачи и, как следствие, снижение уровня производственного травматизма и профессиональной заболеваемости</w:t>
            </w:r>
          </w:p>
        </w:tc>
      </w:tr>
      <w:tr>
        <w:tc>
          <w:tcPr>
            <w:gridSpan w:val="4"/>
            <w:tcW w:w="906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Задача: Реализация 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</w:t>
            </w:r>
          </w:p>
        </w:tc>
      </w:tr>
      <w:tr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3175" w:type="dxa"/>
          </w:tcPr>
          <w:p>
            <w:pPr>
              <w:pStyle w:val="0"/>
            </w:pPr>
            <w:r>
              <w:rPr>
                <w:sz w:val="20"/>
              </w:rPr>
              <w:t xml:space="preserve">Осуществление предупредительных мер по сокращению производственного травматизма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Расходы на осуществление предупредительных мер по сокращению производственного травматизма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tcW w:w="850" w:type="dxa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3175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квалификации руководителей и специалистов по охране труда</w:t>
            </w:r>
          </w:p>
        </w:tc>
        <w:tc>
          <w:tcPr>
            <w:tcW w:w="3402" w:type="dxa"/>
          </w:tcPr>
          <w:p>
            <w:pPr>
              <w:pStyle w:val="0"/>
            </w:pPr>
            <w:r>
              <w:rPr>
                <w:sz w:val="20"/>
              </w:rPr>
              <w:t xml:space="preserve">Расходы на повышение квалификации руководителей и специалистов по охране труда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4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Перечень реализуемых объектов на 2022 год и на плановый</w:t>
      </w:r>
    </w:p>
    <w:p>
      <w:pPr>
        <w:pStyle w:val="2"/>
        <w:jc w:val="center"/>
      </w:pPr>
      <w:r>
        <w:rPr>
          <w:sz w:val="20"/>
        </w:rPr>
        <w:t xml:space="preserve">период 2023 и 2024 годов, включая приобретение объектов</w:t>
      </w:r>
    </w:p>
    <w:p>
      <w:pPr>
        <w:pStyle w:val="2"/>
        <w:jc w:val="center"/>
      </w:pPr>
      <w:r>
        <w:rPr>
          <w:sz w:val="20"/>
        </w:rPr>
        <w:t xml:space="preserve">недвижимого имущества, объектов, создаваемых в соответствии</w:t>
      </w:r>
    </w:p>
    <w:p>
      <w:pPr>
        <w:pStyle w:val="2"/>
        <w:jc w:val="center"/>
      </w:pPr>
      <w:r>
        <w:rPr>
          <w:sz w:val="20"/>
        </w:rPr>
        <w:t xml:space="preserve">с соглашениями о государственно-частном партнерстве,</w:t>
      </w:r>
    </w:p>
    <w:p>
      <w:pPr>
        <w:pStyle w:val="2"/>
        <w:jc w:val="center"/>
      </w:pPr>
      <w:r>
        <w:rPr>
          <w:sz w:val="20"/>
        </w:rPr>
        <w:t xml:space="preserve">муниципально-частном партнерстве и концессионными</w:t>
      </w:r>
    </w:p>
    <w:p>
      <w:pPr>
        <w:pStyle w:val="2"/>
        <w:jc w:val="center"/>
      </w:pPr>
      <w:r>
        <w:rPr>
          <w:sz w:val="20"/>
        </w:rPr>
        <w:t xml:space="preserve">соглашениями</w:t>
      </w:r>
    </w:p>
    <w:p>
      <w:pPr>
        <w:pStyle w:val="0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964"/>
        <w:gridCol w:w="1020"/>
        <w:gridCol w:w="1024"/>
        <w:gridCol w:w="1009"/>
        <w:gridCol w:w="664"/>
        <w:gridCol w:w="907"/>
        <w:gridCol w:w="964"/>
        <w:gridCol w:w="1024"/>
        <w:gridCol w:w="1009"/>
        <w:gridCol w:w="664"/>
        <w:gridCol w:w="964"/>
        <w:gridCol w:w="1020"/>
        <w:gridCol w:w="1024"/>
        <w:gridCol w:w="1009"/>
        <w:gridCol w:w="1309"/>
        <w:gridCol w:w="1134"/>
      </w:tblGrid>
      <w:tr>
        <w:tc>
          <w:tcPr>
            <w:tcW w:w="45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63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объекта</w:t>
            </w:r>
          </w:p>
        </w:tc>
        <w:tc>
          <w:tcPr>
            <w:tcW w:w="118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Мощность</w:t>
            </w:r>
          </w:p>
        </w:tc>
        <w:tc>
          <w:tcPr>
            <w:tcW w:w="178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Остаток стоимости на 01.01.20_</w:t>
            </w:r>
          </w:p>
        </w:tc>
        <w:tc>
          <w:tcPr>
            <w:gridSpan w:val="5"/>
            <w:tcW w:w="468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Инвестиции на 2022 год</w:t>
            </w:r>
          </w:p>
        </w:tc>
        <w:tc>
          <w:tcPr>
            <w:gridSpan w:val="5"/>
            <w:tcW w:w="456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Инвестиции на 2023 год</w:t>
            </w:r>
          </w:p>
        </w:tc>
        <w:tc>
          <w:tcPr>
            <w:gridSpan w:val="5"/>
            <w:tcW w:w="468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Инвестиции на 2024 год</w:t>
            </w:r>
          </w:p>
        </w:tc>
        <w:tc>
          <w:tcPr>
            <w:tcW w:w="130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Механизм реализации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Заказчик по строительству (приобретению)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0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иные средства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иные средства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всего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федеральный бюджет</w:t>
            </w:r>
          </w:p>
        </w:tc>
        <w:tc>
          <w:tcPr>
            <w:tcW w:w="10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бюджет автономного округа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местный бюджет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иные средства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1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7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9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2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10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</w:t>
            </w:r>
          </w:p>
        </w:tc>
        <w:tc>
          <w:tcPr>
            <w:tcW w:w="102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10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  <w:tc>
          <w:tcPr>
            <w:tcW w:w="10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</w:t>
            </w:r>
          </w:p>
        </w:tc>
        <w:tc>
          <w:tcPr>
            <w:tcW w:w="13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</w:t>
            </w:r>
          </w:p>
        </w:tc>
      </w:tr>
      <w:tr>
        <w:tc>
          <w:tcPr>
            <w:gridSpan w:val="5"/>
            <w:tcW w:w="6995" w:type="dxa"/>
          </w:tcPr>
          <w:p>
            <w:pPr>
              <w:pStyle w:val="0"/>
            </w:pPr>
            <w:r>
              <w:rPr>
                <w:sz w:val="20"/>
              </w:rPr>
              <w:t xml:space="preserve">Всего в том числе</w:t>
            </w:r>
          </w:p>
        </w:tc>
        <w:tc>
          <w:tcPr>
            <w:tcW w:w="12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3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tcW w:w="454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8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78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924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907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20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2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009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13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</w:tbl>
    <w:p>
      <w:pPr>
        <w:sectPr>
          <w:headerReference w:type="default" r:id="rId49"/>
          <w:headerReference w:type="first" r:id="rId49"/>
          <w:footerReference w:type="default" r:id="rId50"/>
          <w:footerReference w:type="first" r:id="rId50"/>
          <w:pgSz w:w="16838" w:h="11906" w:orient="landscape"/>
          <w:pgMar w:top="1133" w:right="397" w:bottom="566" w:left="397" w:header="0" w:footer="0" w:gutter="0"/>
          <w:titlePg/>
        </w:sectPr>
      </w:pP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5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Перечень объектов капитального строительства</w:t>
      </w:r>
    </w:p>
    <w:p>
      <w:pPr>
        <w:pStyle w:val="0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2029"/>
        <w:gridCol w:w="1189"/>
        <w:gridCol w:w="1789"/>
        <w:gridCol w:w="1924"/>
        <w:gridCol w:w="1639"/>
      </w:tblGrid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202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объекта (инвестиционного проекта)</w:t>
            </w:r>
          </w:p>
        </w:tc>
        <w:tc>
          <w:tcPr>
            <w:tcW w:w="11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Мощность</w:t>
            </w:r>
          </w:p>
        </w:tc>
        <w:tc>
          <w:tcPr>
            <w:tcW w:w="17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 строительства, проектирования (приобретения)</w:t>
            </w:r>
          </w:p>
        </w:tc>
        <w:tc>
          <w:tcPr>
            <w:tcW w:w="19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Механизм реализации (источник финансирования)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целевого показателя</w:t>
            </w:r>
          </w:p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02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1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7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9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02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1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78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9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6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Показатели, характеризующие эффективность структурного</w:t>
      </w:r>
    </w:p>
    <w:p>
      <w:pPr>
        <w:pStyle w:val="2"/>
        <w:jc w:val="center"/>
      </w:pPr>
      <w:r>
        <w:rPr>
          <w:sz w:val="20"/>
        </w:rPr>
        <w:t xml:space="preserve">элемента (основного мероприятия) муниципальной программы</w:t>
      </w:r>
    </w:p>
    <w:p>
      <w:pPr>
        <w:pStyle w:val="0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84"/>
        <w:gridCol w:w="3515"/>
        <w:gridCol w:w="964"/>
        <w:gridCol w:w="66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134"/>
      </w:tblGrid>
      <w:tr>
        <w:tc>
          <w:tcPr>
            <w:tcW w:w="48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</w:t>
            </w:r>
          </w:p>
        </w:tc>
        <w:tc>
          <w:tcPr>
            <w:tcW w:w="3515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показателя</w:t>
            </w:r>
          </w:p>
        </w:tc>
        <w:tc>
          <w:tcPr>
            <w:tcW w:w="96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Базовый показатель на начало реализации муниципальной программы</w:t>
            </w:r>
          </w:p>
        </w:tc>
        <w:tc>
          <w:tcPr>
            <w:gridSpan w:val="12"/>
            <w:tcW w:w="73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Значение показателя по годам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Значение показателя на момент окончания действия муниципальной программы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2019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2020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2021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2022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2023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2028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2030</w:t>
            </w:r>
          </w:p>
        </w:tc>
        <w:tc>
          <w:tcPr>
            <w:vMerge w:val="continue"/>
          </w:tcPr>
          <w:p/>
        </w:tc>
      </w:tr>
      <w:tr>
        <w:tc>
          <w:tcPr>
            <w:tcW w:w="4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351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9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66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</w:tr>
      <w:tr>
        <w:tc>
          <w:tcPr>
            <w:tcW w:w="48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Доля рабочих мест в муниципальных учреждениях, на которых проведена специальная оценка условий труда &lt;*&gt; (А) %</w:t>
            </w:r>
          </w:p>
        </w:tc>
        <w:tc>
          <w:tcPr>
            <w:tcW w:w="96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93</w:t>
            </w:r>
          </w:p>
        </w:tc>
        <w:tc>
          <w:tcPr>
            <w:tcW w:w="66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93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96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134" w:type="dxa"/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</w:tr>
      <w:tr>
        <w:tc>
          <w:tcPr>
            <w:vMerge w:val="continue"/>
          </w:tcPr>
          <w:p/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А = У / К x 100, где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1.1.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рабочих мест в муниципальных учреждениях, на которых проведена специальная оценка условий труда (У), ед.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852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852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880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1.2.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рабочих мест в муниципальных учреждениях, подлежащих специальной оценке условий труда (К), ед.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917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Доля руководителей и специалистов муниципальных учреждений города, прошедших обучение и проверку знаний требований охраны труда в обучающих организациях &lt;**&gt;</w:t>
            </w:r>
          </w:p>
          <w:p>
            <w:pPr>
              <w:pStyle w:val="0"/>
            </w:pPr>
            <w:r>
              <w:rPr>
                <w:sz w:val="20"/>
              </w:rPr>
              <w:t xml:space="preserve">(Д), %,</w:t>
            </w:r>
          </w:p>
          <w:p>
            <w:pPr>
              <w:pStyle w:val="0"/>
            </w:pPr>
            <w:r>
              <w:rPr>
                <w:sz w:val="20"/>
              </w:rPr>
            </w:r>
          </w:p>
          <w:p>
            <w:pPr>
              <w:pStyle w:val="0"/>
            </w:pPr>
            <w:r>
              <w:rPr>
                <w:sz w:val="20"/>
              </w:rPr>
              <w:t xml:space="preserve">Д = К / В x 100, где: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72,60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76,50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80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100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2.1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руководителей и специалистов муниципальных учреждений города, прошедших обучение и проверку знаний требований охраны труда в обучающих организациях (К), ед.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2.2</w:t>
            </w:r>
          </w:p>
        </w:tc>
        <w:tc>
          <w:tcPr>
            <w:tcW w:w="3515" w:type="dxa"/>
          </w:tcPr>
          <w:p>
            <w:pPr>
              <w:pStyle w:val="0"/>
            </w:pPr>
            <w:r>
              <w:rPr>
                <w:sz w:val="20"/>
              </w:rPr>
              <w:t xml:space="preserve">Количество руководителей и специалистов муниципальных учреждений города, подлежащих обучению (В), ед.</w:t>
            </w:r>
          </w:p>
        </w:tc>
        <w:tc>
          <w:tcPr>
            <w:tcW w:w="96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6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  <w:tc>
          <w:tcPr>
            <w:tcW w:w="1134" w:type="dxa"/>
          </w:tcPr>
          <w:p>
            <w:pPr>
              <w:pStyle w:val="0"/>
            </w:pPr>
            <w:r>
              <w:rPr>
                <w:sz w:val="20"/>
              </w:rPr>
              <w:t xml:space="preserve">95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7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Наказы избирателей</w:t>
      </w:r>
    </w:p>
    <w:p>
      <w:pPr>
        <w:pStyle w:val="0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>
        <w:tblPrEx>
          <w:tblBorders>
            <w:right w:val="nil"/>
          </w:tblBorders>
        </w:tblPrEx>
        <w:tc>
          <w:tcPr>
            <w:tcW w:w="45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gridSpan w:val="4"/>
            <w:tcW w:w="528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Основание</w:t>
            </w:r>
          </w:p>
        </w:tc>
        <w:tc>
          <w:tcPr>
            <w:tcW w:w="1774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Сумма всего, руб.</w:t>
            </w:r>
          </w:p>
        </w:tc>
        <w:tc>
          <w:tcPr>
            <w:gridSpan w:val="12"/>
            <w:tcW w:w="7248" w:type="dxa"/>
            <w:tcBorders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по годам в руб.</w:t>
            </w:r>
          </w:p>
        </w:tc>
      </w:tr>
      <w:tr>
        <w:tc>
          <w:tcPr>
            <w:vMerge w:val="continue"/>
          </w:tcPr>
          <w:p/>
        </w:tc>
        <w:tc>
          <w:tcPr>
            <w:tcW w:w="157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Нормативный правовой акт</w:t>
            </w:r>
          </w:p>
        </w:tc>
        <w:tc>
          <w:tcPr>
            <w:tcW w:w="121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Реквизиты</w:t>
            </w:r>
          </w:p>
        </w:tc>
        <w:tc>
          <w:tcPr>
            <w:tcW w:w="10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Пункт, подпункт</w:t>
            </w:r>
          </w:p>
        </w:tc>
        <w:tc>
          <w:tcPr>
            <w:tcW w:w="13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</w:t>
            </w:r>
          </w:p>
        </w:tc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2019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2020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2021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2022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2023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2028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2030</w:t>
            </w:r>
          </w:p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57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21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0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3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7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7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15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</w:t>
            </w:r>
          </w:p>
        </w:tc>
        <w:tc>
          <w:tcPr>
            <w:tcW w:w="6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</w:t>
            </w:r>
          </w:p>
        </w:tc>
      </w:tr>
      <w:tr>
        <w:tc>
          <w:tcPr>
            <w:tcW w:w="454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57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21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084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39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774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799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  <w:tc>
          <w:tcPr>
            <w:tcW w:w="604" w:type="dxa"/>
          </w:tcPr>
          <w:p>
            <w:pPr>
              <w:pStyle w:val="0"/>
            </w:pPr>
            <w:r>
              <w:rPr>
                <w:sz w:val="20"/>
              </w:rPr>
              <w:t xml:space="preserve">0,00</w:t>
            </w:r>
          </w:p>
        </w:tc>
      </w:tr>
    </w:tbl>
    <w:p>
      <w:pPr>
        <w:sectPr>
          <w:headerReference w:type="default" r:id="rId49"/>
          <w:headerReference w:type="first" r:id="rId49"/>
          <w:footerReference w:type="default" r:id="rId50"/>
          <w:footerReference w:type="first" r:id="rId50"/>
          <w:pgSz w:w="16838" w:h="11906" w:orient="landscape"/>
          <w:pgMar w:top="1133" w:right="397" w:bottom="566" w:left="397" w:header="0" w:footer="0" w:gutter="0"/>
          <w:titlePg/>
        </w:sectPr>
      </w:pP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8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План мероприятий, направленный на достижение значений</w:t>
      </w:r>
    </w:p>
    <w:p>
      <w:pPr>
        <w:pStyle w:val="2"/>
        <w:jc w:val="center"/>
      </w:pPr>
      <w:r>
        <w:rPr>
          <w:sz w:val="20"/>
        </w:rPr>
        <w:t xml:space="preserve">(уровней) показателей оценки эффективности деятельности</w:t>
      </w:r>
    </w:p>
    <w:p>
      <w:pPr>
        <w:pStyle w:val="2"/>
        <w:jc w:val="center"/>
      </w:pPr>
      <w:r>
        <w:rPr>
          <w:sz w:val="20"/>
        </w:rPr>
        <w:t xml:space="preserve">исполнительных органов государственной власти</w:t>
      </w:r>
    </w:p>
    <w:p>
      <w:pPr>
        <w:pStyle w:val="2"/>
        <w:jc w:val="center"/>
      </w:pPr>
      <w:r>
        <w:rPr>
          <w:sz w:val="20"/>
        </w:rPr>
        <w:t xml:space="preserve">Ханты-Мансийского автономного округа - Югры</w:t>
      </w:r>
    </w:p>
    <w:p>
      <w:pPr>
        <w:pStyle w:val="0"/>
        <w:jc w:val="center"/>
      </w:pPr>
      <w:r>
        <w:rPr>
          <w:sz w:val="20"/>
        </w:rPr>
      </w: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  <w:color w:val="392c69"/>
              </w:rPr>
              <w:t xml:space="preserve">КонсультантПлюс: примечание.</w:t>
            </w:r>
          </w:p>
          <w:p>
            <w:pPr>
              <w:pStyle w:val="0"/>
              <w:jc w:val="both"/>
            </w:pPr>
            <w:r>
              <w:rPr>
                <w:sz w:val="20"/>
                <w:color w:val="392c69"/>
              </w:rPr>
              <w:t xml:space="preserve"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spacing w:before="0"/>
        <w:spacing w:after="1"/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84"/>
        <w:gridCol w:w="1609"/>
        <w:gridCol w:w="1609"/>
        <w:gridCol w:w="1639"/>
        <w:gridCol w:w="2211"/>
        <w:gridCol w:w="1417"/>
      </w:tblGrid>
      <w:tr>
        <w:tc>
          <w:tcPr>
            <w:tcW w:w="4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6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Номер, наименование мероприятия (</w:t>
            </w:r>
            <w:hyperlink w:history="0" w:anchor="P279" w:tooltip="Распределение финансовых ресурсов муниципальной программы">
              <w:r>
                <w:rPr>
                  <w:sz w:val="20"/>
                  <w:color w:val="0000ff"/>
                </w:rPr>
                <w:t xml:space="preserve">Приложение 2</w:t>
              </w:r>
            </w:hyperlink>
            <w:r>
              <w:rPr>
                <w:sz w:val="20"/>
              </w:rPr>
              <w:t xml:space="preserve">)</w:t>
            </w:r>
          </w:p>
        </w:tc>
        <w:tc>
          <w:tcPr>
            <w:tcW w:w="16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Меры,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21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Ответственный исполнитель/соисполнитель</w:t>
            </w:r>
          </w:p>
        </w:tc>
        <w:tc>
          <w:tcPr>
            <w:tcW w:w="141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Контрольное событие (промежуточный результат)</w:t>
            </w:r>
          </w:p>
        </w:tc>
      </w:tr>
      <w:tr>
        <w:tc>
          <w:tcPr>
            <w:tcW w:w="4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6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6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63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221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41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</w:tr>
      <w:tr>
        <w:tc>
          <w:tcPr>
            <w:gridSpan w:val="6"/>
            <w:tcW w:w="896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показателя</w:t>
            </w:r>
          </w:p>
        </w:tc>
      </w:tr>
      <w:tr>
        <w:tc>
          <w:tcPr>
            <w:gridSpan w:val="6"/>
            <w:tcW w:w="896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Задача N 1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1.1.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2211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7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1.2.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2211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7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gridSpan w:val="6"/>
            <w:tcW w:w="896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Задача N 2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2.1.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2211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7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  <w:tr>
        <w:tc>
          <w:tcPr>
            <w:tcW w:w="484" w:type="dxa"/>
          </w:tcPr>
          <w:p>
            <w:pPr>
              <w:pStyle w:val="0"/>
            </w:pPr>
            <w:r>
              <w:rPr>
                <w:sz w:val="20"/>
              </w:rPr>
              <w:t xml:space="preserve">2.2.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0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639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2211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17" w:type="dxa"/>
          </w:tcPr>
          <w:p>
            <w:pPr>
              <w:pStyle w:val="0"/>
            </w:pPr>
            <w:r>
              <w:rPr>
                <w:sz w:val="20"/>
              </w:rPr>
              <w:t xml:space="preserve">-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Таблица 9</w:t>
      </w:r>
    </w:p>
    <w:p>
      <w:pPr>
        <w:pStyle w:val="0"/>
        <w:jc w:val="right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Перечень предложений и инициатив граждан, направленных</w:t>
      </w:r>
    </w:p>
    <w:p>
      <w:pPr>
        <w:pStyle w:val="2"/>
        <w:jc w:val="center"/>
      </w:pPr>
      <w:r>
        <w:rPr>
          <w:sz w:val="20"/>
        </w:rPr>
        <w:t xml:space="preserve">на достижение показателей национальных целей, оценку</w:t>
      </w:r>
    </w:p>
    <w:p>
      <w:pPr>
        <w:pStyle w:val="2"/>
        <w:jc w:val="center"/>
      </w:pPr>
      <w:r>
        <w:rPr>
          <w:sz w:val="20"/>
        </w:rPr>
        <w:t xml:space="preserve">эффективности деятельности высших должностных лиц</w:t>
      </w:r>
    </w:p>
    <w:p>
      <w:pPr>
        <w:pStyle w:val="2"/>
        <w:jc w:val="center"/>
      </w:pPr>
      <w:r>
        <w:rPr>
          <w:sz w:val="20"/>
        </w:rPr>
        <w:t xml:space="preserve">(руководителей высших исполнительных органов государственной</w:t>
      </w:r>
    </w:p>
    <w:p>
      <w:pPr>
        <w:pStyle w:val="2"/>
        <w:jc w:val="center"/>
      </w:pPr>
      <w:r>
        <w:rPr>
          <w:sz w:val="20"/>
        </w:rPr>
        <w:t xml:space="preserve">власти) субъектов Российской Федерации,</w:t>
      </w:r>
    </w:p>
    <w:p>
      <w:pPr>
        <w:pStyle w:val="2"/>
        <w:jc w:val="center"/>
      </w:pPr>
      <w:r>
        <w:rPr>
          <w:sz w:val="20"/>
        </w:rPr>
        <w:t xml:space="preserve">социально-экономическое развитие Ханты-Мансийского</w:t>
      </w:r>
    </w:p>
    <w:p>
      <w:pPr>
        <w:pStyle w:val="2"/>
        <w:jc w:val="center"/>
      </w:pPr>
      <w:r>
        <w:rPr>
          <w:sz w:val="20"/>
        </w:rPr>
        <w:t xml:space="preserve">автономного округа - Югры и города Покачи</w:t>
      </w:r>
    </w:p>
    <w:p>
      <w:pPr>
        <w:pStyle w:val="0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1531"/>
        <w:gridCol w:w="2085"/>
        <w:gridCol w:w="1757"/>
        <w:gridCol w:w="1757"/>
        <w:gridCol w:w="1474"/>
      </w:tblGrid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53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 предложения</w:t>
            </w:r>
          </w:p>
        </w:tc>
        <w:tc>
          <w:tcPr>
            <w:tcW w:w="208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Структурные элементы (основные мероприятия) муниципальной программы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Номер, наименование показателя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Ответственный исполнитель</w:t>
            </w:r>
          </w:p>
        </w:tc>
        <w:tc>
          <w:tcPr>
            <w:tcW w:w="14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Автор</w:t>
            </w:r>
          </w:p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53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08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14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</w:tr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53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208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75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  <w:tc>
          <w:tcPr>
            <w:tcW w:w="147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-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footer2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170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993</w:t>
            <w:br/>
            <w:t>(ред. от 14.08.2024)</w:t>
            <w:br/>
            <w:t>"Об утверждении муниципальной програм...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30.10.2024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190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993</w:t>
            <w:br/>
            <w:t>(ред. от 14.08.2024)</w:t>
            <w:br/>
            <w:t>"Об утверждении муниципальной програм...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30.10.2024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926&amp;n=198236&amp;dst=100005" TargetMode = "External"/>
	<Relationship Id="rId8" Type="http://schemas.openxmlformats.org/officeDocument/2006/relationships/hyperlink" Target="https://login.consultant.ru/link/?req=doc&amp;base=RLAW926&amp;n=199960&amp;dst=100005" TargetMode = "External"/>
	<Relationship Id="rId9" Type="http://schemas.openxmlformats.org/officeDocument/2006/relationships/hyperlink" Target="https://login.consultant.ru/link/?req=doc&amp;base=RLAW926&amp;n=220676&amp;dst=100005" TargetMode = "External"/>
	<Relationship Id="rId10" Type="http://schemas.openxmlformats.org/officeDocument/2006/relationships/hyperlink" Target="https://login.consultant.ru/link/?req=doc&amp;base=RLAW926&amp;n=220811&amp;dst=100005" TargetMode = "External"/>
	<Relationship Id="rId11" Type="http://schemas.openxmlformats.org/officeDocument/2006/relationships/hyperlink" Target="https://login.consultant.ru/link/?req=doc&amp;base=RLAW926&amp;n=236601&amp;dst=100005" TargetMode = "External"/>
	<Relationship Id="rId12" Type="http://schemas.openxmlformats.org/officeDocument/2006/relationships/hyperlink" Target="https://login.consultant.ru/link/?req=doc&amp;base=RLAW926&amp;n=242773&amp;dst=100005" TargetMode = "External"/>
	<Relationship Id="rId13" Type="http://schemas.openxmlformats.org/officeDocument/2006/relationships/hyperlink" Target="https://login.consultant.ru/link/?req=doc&amp;base=RLAW926&amp;n=261150&amp;dst=100005" TargetMode = "External"/>
	<Relationship Id="rId14" Type="http://schemas.openxmlformats.org/officeDocument/2006/relationships/hyperlink" Target="https://login.consultant.ru/link/?req=doc&amp;base=RLAW926&amp;n=269894&amp;dst=100005" TargetMode = "External"/>
	<Relationship Id="rId15" Type="http://schemas.openxmlformats.org/officeDocument/2006/relationships/hyperlink" Target="https://login.consultant.ru/link/?req=doc&amp;base=RLAW926&amp;n=266045&amp;dst=100005" TargetMode = "External"/>
	<Relationship Id="rId16" Type="http://schemas.openxmlformats.org/officeDocument/2006/relationships/hyperlink" Target="https://login.consultant.ru/link/?req=doc&amp;base=RLAW926&amp;n=278196&amp;dst=100005" TargetMode = "External"/>
	<Relationship Id="rId17" Type="http://schemas.openxmlformats.org/officeDocument/2006/relationships/hyperlink" Target="https://login.consultant.ru/link/?req=doc&amp;base=RLAW926&amp;n=290218&amp;dst=100005" TargetMode = "External"/>
	<Relationship Id="rId18" Type="http://schemas.openxmlformats.org/officeDocument/2006/relationships/hyperlink" Target="https://login.consultant.ru/link/?req=doc&amp;base=RLAW926&amp;n=291602&amp;dst=100005" TargetMode = "External"/>
	<Relationship Id="rId19" Type="http://schemas.openxmlformats.org/officeDocument/2006/relationships/hyperlink" Target="https://login.consultant.ru/link/?req=doc&amp;base=RLAW926&amp;n=307201&amp;dst=100005" TargetMode = "External"/>
	<Relationship Id="rId20" Type="http://schemas.openxmlformats.org/officeDocument/2006/relationships/hyperlink" Target="https://login.consultant.ru/link/?req=doc&amp;base=RLAW926&amp;n=254721&amp;dst=100005" TargetMode = "External"/>
	<Relationship Id="rId21" Type="http://schemas.openxmlformats.org/officeDocument/2006/relationships/hyperlink" Target="https://login.consultant.ru/link/?req=doc&amp;base=RLAW926&amp;n=298977&amp;dst=100005" TargetMode = "External"/>
	<Relationship Id="rId22" Type="http://schemas.openxmlformats.org/officeDocument/2006/relationships/hyperlink" Target="https://login.consultant.ru/link/?req=doc&amp;base=LAW&amp;n=475114&amp;dst=2550" TargetMode = "External"/>
	<Relationship Id="rId23" Type="http://schemas.openxmlformats.org/officeDocument/2006/relationships/hyperlink" Target="https://login.consultant.ru/link/?req=doc&amp;base=RLAW926&amp;n=266151" TargetMode = "External"/>
	<Relationship Id="rId24" Type="http://schemas.openxmlformats.org/officeDocument/2006/relationships/hyperlink" Target="https://login.consultant.ru/link/?req=doc&amp;base=RLAW926&amp;n=307924" TargetMode = "External"/>
	<Relationship Id="rId25" Type="http://schemas.openxmlformats.org/officeDocument/2006/relationships/hyperlink" Target="https://login.consultant.ru/link/?req=doc&amp;base=RLAW926&amp;n=283371&amp;dst=100030" TargetMode = "External"/>
	<Relationship Id="rId26" Type="http://schemas.openxmlformats.org/officeDocument/2006/relationships/hyperlink" Target="https://login.consultant.ru/link/?req=doc&amp;base=RLAW926&amp;n=309853&amp;dst=101774" TargetMode = "External"/>
	<Relationship Id="rId27" Type="http://schemas.openxmlformats.org/officeDocument/2006/relationships/hyperlink" Target="https://login.consultant.ru/link/?req=doc&amp;base=RLAW926&amp;n=198824" TargetMode = "External"/>
	<Relationship Id="rId28" Type="http://schemas.openxmlformats.org/officeDocument/2006/relationships/hyperlink" Target="https://login.consultant.ru/link/?req=doc&amp;base=RLAW926&amp;n=261150&amp;dst=100006" TargetMode = "External"/>
	<Relationship Id="rId29" Type="http://schemas.openxmlformats.org/officeDocument/2006/relationships/hyperlink" Target="https://login.consultant.ru/link/?req=doc&amp;base=RLAW926&amp;n=220676&amp;dst=100006" TargetMode = "External"/>
	<Relationship Id="rId30" Type="http://schemas.openxmlformats.org/officeDocument/2006/relationships/hyperlink" Target="https://login.consultant.ru/link/?req=doc&amp;base=RLAW926&amp;n=220811&amp;dst=100006" TargetMode = "External"/>
	<Relationship Id="rId31" Type="http://schemas.openxmlformats.org/officeDocument/2006/relationships/hyperlink" Target="https://login.consultant.ru/link/?req=doc&amp;base=RLAW926&amp;n=261150&amp;dst=100008" TargetMode = "External"/>
	<Relationship Id="rId32" Type="http://schemas.openxmlformats.org/officeDocument/2006/relationships/hyperlink" Target="https://login.consultant.ru/link/?req=doc&amp;base=RLAW926&amp;n=261150&amp;dst=100008" TargetMode = "External"/>
	<Relationship Id="rId33" Type="http://schemas.openxmlformats.org/officeDocument/2006/relationships/hyperlink" Target="https://login.consultant.ru/link/?req=doc&amp;base=RLAW926&amp;n=269894&amp;dst=100005" TargetMode = "External"/>
	<Relationship Id="rId34" Type="http://schemas.openxmlformats.org/officeDocument/2006/relationships/hyperlink" Target="https://login.consultant.ru/link/?req=doc&amp;base=RLAW926&amp;n=266045&amp;dst=100005" TargetMode = "External"/>
	<Relationship Id="rId35" Type="http://schemas.openxmlformats.org/officeDocument/2006/relationships/hyperlink" Target="https://login.consultant.ru/link/?req=doc&amp;base=RLAW926&amp;n=278196&amp;dst=100005" TargetMode = "External"/>
	<Relationship Id="rId36" Type="http://schemas.openxmlformats.org/officeDocument/2006/relationships/hyperlink" Target="https://login.consultant.ru/link/?req=doc&amp;base=RLAW926&amp;n=290218&amp;dst=100005" TargetMode = "External"/>
	<Relationship Id="rId37" Type="http://schemas.openxmlformats.org/officeDocument/2006/relationships/hyperlink" Target="https://login.consultant.ru/link/?req=doc&amp;base=RLAW926&amp;n=291602&amp;dst=100005" TargetMode = "External"/>
	<Relationship Id="rId38" Type="http://schemas.openxmlformats.org/officeDocument/2006/relationships/hyperlink" Target="https://login.consultant.ru/link/?req=doc&amp;base=RLAW926&amp;n=307201&amp;dst=100005" TargetMode = "External"/>
	<Relationship Id="rId39" Type="http://schemas.openxmlformats.org/officeDocument/2006/relationships/hyperlink" Target="https://login.consultant.ru/link/?req=doc&amp;base=RLAW926&amp;n=254721&amp;dst=100005" TargetMode = "External"/>
	<Relationship Id="rId40" Type="http://schemas.openxmlformats.org/officeDocument/2006/relationships/hyperlink" Target="https://login.consultant.ru/link/?req=doc&amp;base=RLAW926&amp;n=298977&amp;dst=100005" TargetMode = "External"/>
	<Relationship Id="rId41" Type="http://schemas.openxmlformats.org/officeDocument/2006/relationships/hyperlink" Target="https://login.consultant.ru/link/?req=doc&amp;base=LAW&amp;n=358026" TargetMode = "External"/>
	<Relationship Id="rId42" Type="http://schemas.openxmlformats.org/officeDocument/2006/relationships/hyperlink" Target="https://login.consultant.ru/link/?req=doc&amp;base=LAW&amp;n=475991" TargetMode = "External"/>
	<Relationship Id="rId43" Type="http://schemas.openxmlformats.org/officeDocument/2006/relationships/hyperlink" Target="https://login.consultant.ru/link/?req=doc&amp;base=RLAW926&amp;n=266508&amp;dst=100017" TargetMode = "External"/>
	<Relationship Id="rId44" Type="http://schemas.openxmlformats.org/officeDocument/2006/relationships/hyperlink" Target="https://login.consultant.ru/link/?req=doc&amp;base=RLAW926&amp;n=304646&amp;dst=100014" TargetMode = "External"/>
	<Relationship Id="rId45" Type="http://schemas.openxmlformats.org/officeDocument/2006/relationships/hyperlink" Target="https://login.consultant.ru/link/?req=doc&amp;base=RLAW926&amp;n=307201&amp;dst=100006" TargetMode = "External"/>
	<Relationship Id="rId46" Type="http://schemas.openxmlformats.org/officeDocument/2006/relationships/hyperlink" Target="https://login.consultant.ru/link/?req=doc&amp;base=RLAW926&amp;n=266151" TargetMode = "External"/>
	<Relationship Id="rId47" Type="http://schemas.openxmlformats.org/officeDocument/2006/relationships/hyperlink" Target="https://login.consultant.ru/link/?req=doc&amp;base=RLAW926&amp;n=291602&amp;dst=100006" TargetMode = "External"/>
	<Relationship Id="rId48" Type="http://schemas.openxmlformats.org/officeDocument/2006/relationships/hyperlink" Target="https://login.consultant.ru/link/?req=doc&amp;base=RLAW926&amp;n=307201&amp;dst=100008" TargetMode = "External"/>
	<Relationship Id="rId49" Type="http://schemas.openxmlformats.org/officeDocument/2006/relationships/header" Target="header2.xml"/>
	<Relationship Id="rId50" Type="http://schemas.openxmlformats.org/officeDocument/2006/relationships/footer" Target="footer2.xml"/>
	<Relationship Id="rId51" Type="http://schemas.openxmlformats.org/officeDocument/2006/relationships/hyperlink" Target="https://login.consultant.ru/link/?req=doc&amp;base=RLAW926&amp;n=306922" TargetMode = "External"/>
	<Relationship Id="rId52" Type="http://schemas.openxmlformats.org/officeDocument/2006/relationships/hyperlink" Target="https://login.consultant.ru/link/?req=doc&amp;base=RLAW926&amp;n=306922" TargetMode = "External"/>
	<Relationship Id="rId53" Type="http://schemas.openxmlformats.org/officeDocument/2006/relationships/hyperlink" Target="https://login.consultant.ru/link/?req=doc&amp;base=RLAW926&amp;n=307201&amp;dst=100009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foot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4024.00.32</Application>
  <Company>КонсультантПлюс Версия 4024.00.32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12.10.2018 N 993
(ред. от 14.08.2024)
"Об утверждении муниципальной программы "Улучшение условий и охраны труда на территории города Покачи"</dc:title>
  <dcterms:created xsi:type="dcterms:W3CDTF">2024-10-30T05:30:26Z</dcterms:created>
</cp:coreProperties>
</file>